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94" w:rsidRDefault="007E1360" w:rsidP="007E0D1C">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Кадастровая палата по Ростовской области: о</w:t>
      </w:r>
      <w:r w:rsidR="00216A94">
        <w:rPr>
          <w:rFonts w:ascii="Times New Roman" w:hAnsi="Times New Roman" w:cs="Times New Roman"/>
          <w:sz w:val="28"/>
          <w:szCs w:val="28"/>
        </w:rPr>
        <w:t xml:space="preserve"> приостановлениях </w:t>
      </w:r>
      <w:r w:rsidR="00216A94" w:rsidRPr="00293860">
        <w:rPr>
          <w:rFonts w:ascii="Times New Roman" w:hAnsi="Times New Roman" w:cs="Times New Roman"/>
          <w:sz w:val="28"/>
          <w:szCs w:val="28"/>
        </w:rPr>
        <w:t xml:space="preserve">и отказах при проведении </w:t>
      </w:r>
      <w:r w:rsidR="00216A94">
        <w:rPr>
          <w:rFonts w:ascii="Times New Roman" w:hAnsi="Times New Roman" w:cs="Times New Roman"/>
          <w:sz w:val="28"/>
          <w:szCs w:val="28"/>
        </w:rPr>
        <w:t>учетно-регистрационных процедур</w:t>
      </w:r>
    </w:p>
    <w:p w:rsidR="00216A94" w:rsidRPr="00293860" w:rsidRDefault="00216A94" w:rsidP="007E0D1C">
      <w:pPr>
        <w:spacing w:after="0" w:line="240" w:lineRule="auto"/>
        <w:ind w:firstLine="708"/>
        <w:jc w:val="center"/>
        <w:rPr>
          <w:rFonts w:ascii="Times New Roman" w:hAnsi="Times New Roman" w:cs="Times New Roman"/>
          <w:sz w:val="28"/>
          <w:szCs w:val="28"/>
        </w:rPr>
      </w:pPr>
    </w:p>
    <w:p w:rsidR="00216A94" w:rsidRDefault="00216A94" w:rsidP="007E0D1C">
      <w:pPr>
        <w:spacing w:after="0" w:line="240" w:lineRule="auto"/>
        <w:jc w:val="both"/>
        <w:rPr>
          <w:rFonts w:ascii="Times New Roman" w:hAnsi="Times New Roman" w:cs="Times New Roman"/>
          <w:sz w:val="28"/>
          <w:szCs w:val="28"/>
        </w:rPr>
      </w:pPr>
      <w:r w:rsidRPr="00293860">
        <w:rPr>
          <w:rFonts w:ascii="Times New Roman" w:hAnsi="Times New Roman" w:cs="Times New Roman"/>
          <w:sz w:val="28"/>
          <w:szCs w:val="28"/>
        </w:rPr>
        <w:tab/>
        <w:t xml:space="preserve">При постановке на кадастровый учет земельного участка заявителю необходимо провести межевание, то есть определить границы своего земельного участка. Этой работой занимается кадастровый инженер. Далее на основании подготовленных кадастровым инженером документов заявитель обращается в муниципалитет для утверждения схемы расположения выбранного земельного участка на кадастровом плане территории. </w:t>
      </w:r>
    </w:p>
    <w:p w:rsidR="00216A94" w:rsidRDefault="00216A94" w:rsidP="007E0D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Как показывает практика, более трети решений о приостановлении или отказе в кадастровом учете зависят от уровня квалификации кадастрового инженера,  </w:t>
      </w:r>
      <w:r w:rsidR="00965819">
        <w:rPr>
          <w:rFonts w:ascii="Times New Roman" w:hAnsi="Times New Roman" w:cs="Times New Roman"/>
          <w:sz w:val="28"/>
          <w:szCs w:val="28"/>
        </w:rPr>
        <w:t>а</w:t>
      </w:r>
      <w:r>
        <w:rPr>
          <w:rFonts w:ascii="Times New Roman" w:hAnsi="Times New Roman" w:cs="Times New Roman"/>
          <w:sz w:val="28"/>
          <w:szCs w:val="28"/>
        </w:rPr>
        <w:t xml:space="preserve"> также качества  подготовки градостроительных документов и  проведением кадастровых работ. </w:t>
      </w:r>
      <w:r w:rsidRPr="00293860">
        <w:rPr>
          <w:rFonts w:ascii="Times New Roman" w:hAnsi="Times New Roman" w:cs="Times New Roman"/>
          <w:sz w:val="28"/>
          <w:szCs w:val="28"/>
        </w:rPr>
        <w:t>Например,</w:t>
      </w:r>
      <w:r>
        <w:rPr>
          <w:rFonts w:ascii="Times New Roman" w:hAnsi="Times New Roman" w:cs="Times New Roman"/>
          <w:sz w:val="28"/>
          <w:szCs w:val="28"/>
        </w:rPr>
        <w:t xml:space="preserve"> вид разрешенного использования, указанный в межевом плане, противоречит перечню основных видов разрешенного использования </w:t>
      </w:r>
      <w:r w:rsidR="00965819">
        <w:rPr>
          <w:rFonts w:ascii="Times New Roman" w:hAnsi="Times New Roman" w:cs="Times New Roman"/>
          <w:sz w:val="28"/>
          <w:szCs w:val="28"/>
        </w:rPr>
        <w:t>соответствующей</w:t>
      </w:r>
      <w:r>
        <w:rPr>
          <w:rFonts w:ascii="Times New Roman" w:hAnsi="Times New Roman" w:cs="Times New Roman"/>
          <w:sz w:val="28"/>
          <w:szCs w:val="28"/>
        </w:rPr>
        <w:t xml:space="preserve"> территориальной зоны согласно правилам землепользования и застройки</w:t>
      </w:r>
      <w:r w:rsidR="00965819">
        <w:rPr>
          <w:rFonts w:ascii="Times New Roman" w:hAnsi="Times New Roman" w:cs="Times New Roman"/>
          <w:sz w:val="28"/>
          <w:szCs w:val="28"/>
        </w:rPr>
        <w:t xml:space="preserve"> (далее – ПЗЗ)</w:t>
      </w:r>
      <w:r>
        <w:rPr>
          <w:rFonts w:ascii="Times New Roman" w:hAnsi="Times New Roman" w:cs="Times New Roman"/>
          <w:sz w:val="28"/>
          <w:szCs w:val="28"/>
        </w:rPr>
        <w:t xml:space="preserve">. </w:t>
      </w:r>
    </w:p>
    <w:p w:rsidR="005530DB" w:rsidRDefault="00216A94" w:rsidP="007E0D1C">
      <w:pPr>
        <w:spacing w:after="0" w:line="240" w:lineRule="auto"/>
        <w:jc w:val="both"/>
        <w:rPr>
          <w:rFonts w:ascii="Times New Roman" w:hAnsi="Times New Roman" w:cs="Times New Roman"/>
          <w:sz w:val="28"/>
          <w:szCs w:val="28"/>
        </w:rPr>
      </w:pPr>
      <w:r w:rsidRPr="00293860">
        <w:rPr>
          <w:rFonts w:ascii="Times New Roman" w:hAnsi="Times New Roman" w:cs="Times New Roman"/>
          <w:sz w:val="28"/>
          <w:szCs w:val="28"/>
        </w:rPr>
        <w:tab/>
        <w:t>Для кадастрового учета важно не только формальное наличие ПЗЗ, но и однозначное их соответствие требованиям законодательства. В частности, законом определена необходимость внесения в ЕГРН границ территориальны</w:t>
      </w:r>
      <w:r w:rsidR="005530DB">
        <w:rPr>
          <w:rFonts w:ascii="Times New Roman" w:hAnsi="Times New Roman" w:cs="Times New Roman"/>
          <w:sz w:val="28"/>
          <w:szCs w:val="28"/>
        </w:rPr>
        <w:t>х зон, которые устанавливают  ПЗ</w:t>
      </w:r>
      <w:r w:rsidRPr="00293860">
        <w:rPr>
          <w:rFonts w:ascii="Times New Roman" w:hAnsi="Times New Roman" w:cs="Times New Roman"/>
          <w:sz w:val="28"/>
          <w:szCs w:val="28"/>
        </w:rPr>
        <w:t>З и которые определяют разрешенное использование земли. Обязанность представлять эти документы в соответствии с законом «О государственной регистрации недвижимости» возложена на органы местного самоуправления. Эта информация должна направляться в электронном виде в рамках межведомственного взаимодействия.</w:t>
      </w:r>
    </w:p>
    <w:p w:rsidR="00216A94" w:rsidRDefault="00216A94" w:rsidP="005530DB">
      <w:pPr>
        <w:spacing w:after="0" w:line="240" w:lineRule="auto"/>
        <w:ind w:firstLine="708"/>
        <w:jc w:val="both"/>
        <w:rPr>
          <w:rFonts w:ascii="Times New Roman" w:hAnsi="Times New Roman" w:cs="Times New Roman"/>
          <w:sz w:val="28"/>
          <w:szCs w:val="28"/>
        </w:rPr>
      </w:pPr>
      <w:r w:rsidRPr="00293860">
        <w:rPr>
          <w:rFonts w:ascii="Times New Roman" w:hAnsi="Times New Roman" w:cs="Times New Roman"/>
          <w:sz w:val="28"/>
          <w:szCs w:val="28"/>
        </w:rPr>
        <w:t xml:space="preserve">При анализе документов, предоставляемых заявителем для кадастрового учета объекта недвижимости, </w:t>
      </w:r>
      <w:r w:rsidR="005530DB">
        <w:rPr>
          <w:rFonts w:ascii="Times New Roman" w:hAnsi="Times New Roman" w:cs="Times New Roman"/>
          <w:sz w:val="28"/>
          <w:szCs w:val="28"/>
        </w:rPr>
        <w:t xml:space="preserve">орган регистрации прав </w:t>
      </w:r>
      <w:r w:rsidRPr="00293860">
        <w:rPr>
          <w:rFonts w:ascii="Times New Roman" w:hAnsi="Times New Roman" w:cs="Times New Roman"/>
          <w:sz w:val="28"/>
          <w:szCs w:val="28"/>
        </w:rPr>
        <w:t>проверяет</w:t>
      </w:r>
      <w:r w:rsidR="00E47CE4">
        <w:rPr>
          <w:rFonts w:ascii="Times New Roman" w:hAnsi="Times New Roman" w:cs="Times New Roman"/>
          <w:sz w:val="28"/>
          <w:szCs w:val="28"/>
        </w:rPr>
        <w:t>,</w:t>
      </w:r>
      <w:r w:rsidRPr="00293860">
        <w:rPr>
          <w:rFonts w:ascii="Times New Roman" w:hAnsi="Times New Roman" w:cs="Times New Roman"/>
          <w:sz w:val="28"/>
          <w:szCs w:val="28"/>
        </w:rPr>
        <w:t xml:space="preserve"> в какой зоне он находится и возможно ли осуществлять здесь строительство такого рода объектов. Именно в ПЗЗ установлено, где на территории муниципального образования можно строить многоэтажные дома, а где коттеджные поселки, где должны размещаться социальные объекты, например, школы и больницы, а где возможно строить торговый центр или автосервис. Также в ПЗЗ четко установлены парковые или рекреационные зоны, в которых вообще запрещено капитальное строительство. Для качественного и оперативного проведения анализа в ЕГРН должны содержаться все зоны, определенные в ПЗЗ. Отсутствие такой информации в ЕГРН зачастую становится причиной приостановлений и отказов при проведении кадастрового учета.</w:t>
      </w:r>
    </w:p>
    <w:p w:rsidR="00216A94" w:rsidRDefault="00216A94" w:rsidP="007E0D1C">
      <w:pPr>
        <w:pStyle w:val="a3"/>
        <w:spacing w:line="240" w:lineRule="auto"/>
        <w:ind w:left="0" w:right="0" w:firstLine="708"/>
        <w:contextualSpacing w:val="0"/>
        <w:jc w:val="both"/>
        <w:rPr>
          <w:rFonts w:ascii="Times New Roman" w:hAnsi="Times New Roman" w:cs="Times New Roman"/>
          <w:sz w:val="28"/>
          <w:szCs w:val="28"/>
          <w:lang w:eastAsia="en-US"/>
        </w:rPr>
      </w:pPr>
      <w:r w:rsidRPr="00EC04D0">
        <w:rPr>
          <w:rFonts w:ascii="Times New Roman" w:hAnsi="Times New Roman" w:cs="Times New Roman"/>
          <w:sz w:val="28"/>
          <w:szCs w:val="28"/>
          <w:lang w:eastAsia="en-US"/>
        </w:rPr>
        <w:t>Качество предоставления государственных услуг по регистрации прав и кадастровому учету недвижимости напрямую зависит от возможности получения в установленные</w:t>
      </w:r>
      <w:r>
        <w:rPr>
          <w:rFonts w:ascii="Times New Roman" w:hAnsi="Times New Roman" w:cs="Times New Roman"/>
          <w:sz w:val="28"/>
          <w:szCs w:val="28"/>
          <w:lang w:eastAsia="en-US"/>
        </w:rPr>
        <w:t xml:space="preserve"> сроки информации.</w:t>
      </w:r>
      <w:r w:rsidRPr="00EC04D0">
        <w:rPr>
          <w:rFonts w:ascii="Times New Roman" w:hAnsi="Times New Roman" w:cs="Times New Roman"/>
          <w:sz w:val="28"/>
          <w:szCs w:val="28"/>
          <w:lang w:eastAsia="en-US"/>
        </w:rPr>
        <w:t xml:space="preserve"> Несвоевременное получение или неполучение по системе межведомственного взаимодействия документов, необходимых для проведения процедур по регистрации прав и кадастровому учету зачастую становится причиной приостановления или отказа. Кроме того, значительно увеличивает сроки оказания услуг ожидание документов, обязательных для запроса в межведомственном порядке, поступающих на бумажных носителях.</w:t>
      </w:r>
      <w:r w:rsidR="007E0D1C">
        <w:rPr>
          <w:rFonts w:ascii="Times New Roman" w:hAnsi="Times New Roman" w:cs="Times New Roman"/>
          <w:sz w:val="28"/>
          <w:szCs w:val="28"/>
          <w:lang w:eastAsia="en-US"/>
        </w:rPr>
        <w:t xml:space="preserve"> При этом </w:t>
      </w:r>
      <w:r w:rsidR="007E0D1C" w:rsidRPr="00EC04D0">
        <w:rPr>
          <w:rFonts w:ascii="Times New Roman" w:hAnsi="Times New Roman" w:cs="Times New Roman"/>
          <w:sz w:val="28"/>
          <w:szCs w:val="28"/>
          <w:lang w:eastAsia="en-US"/>
        </w:rPr>
        <w:t xml:space="preserve">предоставление услуг через Интернет является одним из факторов, которые </w:t>
      </w:r>
      <w:r w:rsidR="007E0D1C" w:rsidRPr="00EC04D0">
        <w:rPr>
          <w:rFonts w:ascii="Times New Roman" w:hAnsi="Times New Roman" w:cs="Times New Roman"/>
          <w:sz w:val="28"/>
          <w:szCs w:val="28"/>
          <w:lang w:eastAsia="en-US"/>
        </w:rPr>
        <w:lastRenderedPageBreak/>
        <w:t>положительно влияют на снижение доли приостановлений и отказов при регистрации прав и кадастровом учете.</w:t>
      </w:r>
    </w:p>
    <w:p w:rsidR="007E1360" w:rsidRDefault="007E0D1C" w:rsidP="007E1360">
      <w:pPr>
        <w:pStyle w:val="a3"/>
        <w:spacing w:line="240" w:lineRule="auto"/>
        <w:ind w:left="0" w:right="0" w:firstLine="708"/>
        <w:contextualSpacing w:val="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Снижение количества приостановлений и отказов в осуществлении государственного кадастрового учета и (или) государственной регистрации прав, а также обеспечение межведомственного взаимодействия  посредством СМЭВ (системы межведомственного электронного взаимодействия) являются этапами реализации </w:t>
      </w:r>
      <w:r w:rsidR="007E1360">
        <w:rPr>
          <w:rFonts w:ascii="Times New Roman" w:hAnsi="Times New Roman" w:cs="Times New Roman"/>
          <w:sz w:val="28"/>
          <w:szCs w:val="28"/>
          <w:lang w:eastAsia="en-US"/>
        </w:rPr>
        <w:t xml:space="preserve">дорожной карты по достижению показателей, установленных в целевых </w:t>
      </w:r>
      <w:r w:rsidR="007E1360" w:rsidRPr="007E1360">
        <w:rPr>
          <w:rFonts w:ascii="Times New Roman" w:hAnsi="Times New Roman" w:cs="Times New Roman"/>
          <w:sz w:val="28"/>
          <w:szCs w:val="28"/>
          <w:lang w:eastAsia="en-US"/>
        </w:rPr>
        <w:t xml:space="preserve">моделях </w:t>
      </w:r>
      <w:r w:rsidR="007E1360" w:rsidRPr="007E1360">
        <w:rPr>
          <w:rFonts w:ascii="Times New Roman" w:eastAsia="Calibri" w:hAnsi="Times New Roman" w:cs="Times New Roman"/>
          <w:sz w:val="28"/>
          <w:szCs w:val="28"/>
        </w:rPr>
        <w:t>«Государственный кадастровый учет» и «Государственная регистрация прав».</w:t>
      </w:r>
      <w:r w:rsidR="007E1360" w:rsidRPr="007E1360">
        <w:rPr>
          <w:rFonts w:ascii="Times New Roman" w:hAnsi="Times New Roman" w:cs="Times New Roman"/>
          <w:sz w:val="28"/>
          <w:szCs w:val="28"/>
          <w:lang w:eastAsia="en-US"/>
        </w:rPr>
        <w:t xml:space="preserve"> </w:t>
      </w:r>
    </w:p>
    <w:p w:rsidR="007E1360" w:rsidRPr="007E1360" w:rsidRDefault="007E1360" w:rsidP="007E1360">
      <w:pPr>
        <w:pStyle w:val="a3"/>
        <w:spacing w:line="240" w:lineRule="auto"/>
        <w:ind w:left="0" w:right="0" w:firstLine="708"/>
        <w:contextualSpacing w:val="0"/>
        <w:jc w:val="both"/>
        <w:rPr>
          <w:rFonts w:ascii="Times New Roman" w:hAnsi="Times New Roman" w:cs="Times New Roman"/>
          <w:sz w:val="28"/>
          <w:szCs w:val="28"/>
          <w:lang w:eastAsia="en-US"/>
        </w:rPr>
      </w:pPr>
      <w:r w:rsidRPr="007E1360">
        <w:rPr>
          <w:rFonts w:ascii="Times New Roman" w:hAnsi="Times New Roman" w:cs="Times New Roman"/>
          <w:sz w:val="28"/>
          <w:szCs w:val="28"/>
          <w:lang w:eastAsia="en-US"/>
        </w:rPr>
        <w:t>При формировании</w:t>
      </w:r>
      <w:r>
        <w:rPr>
          <w:rFonts w:ascii="Times New Roman" w:hAnsi="Times New Roman" w:cs="Times New Roman"/>
          <w:sz w:val="28"/>
          <w:szCs w:val="28"/>
          <w:lang w:eastAsia="en-US"/>
        </w:rPr>
        <w:t xml:space="preserve"> </w:t>
      </w:r>
      <w:r w:rsidRPr="007E1360">
        <w:rPr>
          <w:rFonts w:ascii="Times New Roman" w:hAnsi="Times New Roman" w:cs="Times New Roman"/>
          <w:sz w:val="28"/>
          <w:szCs w:val="28"/>
          <w:lang w:eastAsia="en-US"/>
        </w:rPr>
        <w:t xml:space="preserve">целевых моделей проанализированы региональный опыт в части выполнения учетно-регистрационных процедур и среднестатистические данные по субъектам Российской Федерации. Результаты анализа лучших практик </w:t>
      </w:r>
      <w:r w:rsidR="005530DB">
        <w:rPr>
          <w:rFonts w:ascii="Times New Roman" w:hAnsi="Times New Roman" w:cs="Times New Roman"/>
          <w:sz w:val="28"/>
          <w:szCs w:val="28"/>
          <w:lang w:eastAsia="en-US"/>
        </w:rPr>
        <w:t xml:space="preserve">в части </w:t>
      </w:r>
      <w:r w:rsidR="005530DB" w:rsidRPr="007E1360">
        <w:rPr>
          <w:rFonts w:ascii="Times New Roman" w:hAnsi="Times New Roman" w:cs="Times New Roman"/>
          <w:sz w:val="28"/>
          <w:szCs w:val="28"/>
          <w:lang w:eastAsia="en-US"/>
        </w:rPr>
        <w:t>выполнения учетно-регистрационных процедур</w:t>
      </w:r>
      <w:r w:rsidR="005530DB">
        <w:rPr>
          <w:rFonts w:ascii="Times New Roman" w:hAnsi="Times New Roman" w:cs="Times New Roman"/>
          <w:sz w:val="28"/>
          <w:szCs w:val="28"/>
          <w:lang w:eastAsia="en-US"/>
        </w:rPr>
        <w:t xml:space="preserve"> </w:t>
      </w:r>
      <w:r w:rsidRPr="007E1360">
        <w:rPr>
          <w:rFonts w:ascii="Times New Roman" w:hAnsi="Times New Roman" w:cs="Times New Roman"/>
          <w:sz w:val="28"/>
          <w:szCs w:val="28"/>
          <w:lang w:eastAsia="en-US"/>
        </w:rPr>
        <w:t>позволили сформировать системные решения по оптимизации регистрации прав и кадастрового учета недвижимости, в основе которых лежит слаженное взаимодействие всех участников процесса.</w:t>
      </w:r>
    </w:p>
    <w:p w:rsidR="00965819" w:rsidRDefault="00965819" w:rsidP="007E0D1C">
      <w:pPr>
        <w:pStyle w:val="a3"/>
        <w:spacing w:line="240" w:lineRule="auto"/>
        <w:ind w:left="0" w:right="0" w:firstLine="708"/>
        <w:contextualSpacing w:val="0"/>
        <w:jc w:val="both"/>
        <w:rPr>
          <w:rFonts w:ascii="Times New Roman" w:hAnsi="Times New Roman" w:cs="Times New Roman"/>
          <w:sz w:val="28"/>
          <w:szCs w:val="28"/>
          <w:lang w:eastAsia="en-US"/>
        </w:rPr>
      </w:pPr>
    </w:p>
    <w:p w:rsidR="0007503A" w:rsidRPr="007E1360" w:rsidRDefault="0007503A" w:rsidP="007E1360">
      <w:pPr>
        <w:pStyle w:val="a3"/>
        <w:spacing w:line="240" w:lineRule="auto"/>
        <w:ind w:left="0" w:right="0" w:firstLine="708"/>
        <w:contextualSpacing w:val="0"/>
        <w:jc w:val="both"/>
        <w:rPr>
          <w:rFonts w:ascii="Times New Roman" w:hAnsi="Times New Roman" w:cs="Times New Roman"/>
          <w:sz w:val="28"/>
          <w:szCs w:val="28"/>
          <w:lang w:eastAsia="en-US"/>
        </w:rPr>
      </w:pPr>
    </w:p>
    <w:sectPr w:rsidR="0007503A" w:rsidRPr="007E1360" w:rsidSect="007E136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1FD4"/>
    <w:multiLevelType w:val="hybridMultilevel"/>
    <w:tmpl w:val="74F453D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1410" w:hanging="360"/>
      </w:pPr>
      <w:rPr>
        <w:rFonts w:ascii="Wingdings" w:hAnsi="Wingdings" w:hint="default"/>
      </w:rPr>
    </w:lvl>
    <w:lvl w:ilvl="3" w:tplc="04190001" w:tentative="1">
      <w:start w:val="1"/>
      <w:numFmt w:val="bullet"/>
      <w:lvlText w:val=""/>
      <w:lvlJc w:val="left"/>
      <w:pPr>
        <w:ind w:left="-690" w:hanging="360"/>
      </w:pPr>
      <w:rPr>
        <w:rFonts w:ascii="Symbol" w:hAnsi="Symbol" w:hint="default"/>
      </w:rPr>
    </w:lvl>
    <w:lvl w:ilvl="4" w:tplc="04190003" w:tentative="1">
      <w:start w:val="1"/>
      <w:numFmt w:val="bullet"/>
      <w:lvlText w:val="o"/>
      <w:lvlJc w:val="left"/>
      <w:pPr>
        <w:ind w:left="30" w:hanging="360"/>
      </w:pPr>
      <w:rPr>
        <w:rFonts w:ascii="Courier New" w:hAnsi="Courier New" w:cs="Courier New" w:hint="default"/>
      </w:rPr>
    </w:lvl>
    <w:lvl w:ilvl="5" w:tplc="04190005" w:tentative="1">
      <w:start w:val="1"/>
      <w:numFmt w:val="bullet"/>
      <w:lvlText w:val=""/>
      <w:lvlJc w:val="left"/>
      <w:pPr>
        <w:ind w:left="750" w:hanging="360"/>
      </w:pPr>
      <w:rPr>
        <w:rFonts w:ascii="Wingdings" w:hAnsi="Wingdings" w:hint="default"/>
      </w:rPr>
    </w:lvl>
    <w:lvl w:ilvl="6" w:tplc="04190001" w:tentative="1">
      <w:start w:val="1"/>
      <w:numFmt w:val="bullet"/>
      <w:lvlText w:val=""/>
      <w:lvlJc w:val="left"/>
      <w:pPr>
        <w:ind w:left="1470" w:hanging="360"/>
      </w:pPr>
      <w:rPr>
        <w:rFonts w:ascii="Symbol" w:hAnsi="Symbol" w:hint="default"/>
      </w:rPr>
    </w:lvl>
    <w:lvl w:ilvl="7" w:tplc="04190003" w:tentative="1">
      <w:start w:val="1"/>
      <w:numFmt w:val="bullet"/>
      <w:lvlText w:val="o"/>
      <w:lvlJc w:val="left"/>
      <w:pPr>
        <w:ind w:left="2190" w:hanging="360"/>
      </w:pPr>
      <w:rPr>
        <w:rFonts w:ascii="Courier New" w:hAnsi="Courier New" w:cs="Courier New" w:hint="default"/>
      </w:rPr>
    </w:lvl>
    <w:lvl w:ilvl="8" w:tplc="04190005" w:tentative="1">
      <w:start w:val="1"/>
      <w:numFmt w:val="bullet"/>
      <w:lvlText w:val=""/>
      <w:lvlJc w:val="left"/>
      <w:pPr>
        <w:ind w:left="29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A94"/>
    <w:rsid w:val="0007503A"/>
    <w:rsid w:val="001A7809"/>
    <w:rsid w:val="00216A94"/>
    <w:rsid w:val="005530DB"/>
    <w:rsid w:val="0063487D"/>
    <w:rsid w:val="007E0D1C"/>
    <w:rsid w:val="007E1360"/>
    <w:rsid w:val="008261BE"/>
    <w:rsid w:val="00965819"/>
    <w:rsid w:val="00C56792"/>
    <w:rsid w:val="00E47CE4"/>
    <w:rsid w:val="00E50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Источник"/>
    <w:basedOn w:val="a"/>
    <w:uiPriority w:val="34"/>
    <w:qFormat/>
    <w:rsid w:val="00216A94"/>
    <w:pPr>
      <w:spacing w:after="0" w:line="360" w:lineRule="auto"/>
      <w:ind w:left="720" w:right="1075" w:firstLine="851"/>
      <w:contextualSpacing/>
    </w:pPr>
    <w:rPr>
      <w:rFonts w:ascii="Arial" w:hAnsi="Arial" w:cs="Arial"/>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600</Words>
  <Characters>3425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Филиал ФГБУ "ФКП" по Ростовской области</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etcherkashova</dc:creator>
  <cp:keywords/>
  <dc:description/>
  <cp:lastModifiedBy>NNLyzar</cp:lastModifiedBy>
  <cp:revision>6</cp:revision>
  <dcterms:created xsi:type="dcterms:W3CDTF">2017-10-05T08:48:00Z</dcterms:created>
  <dcterms:modified xsi:type="dcterms:W3CDTF">2017-10-10T10:23:00Z</dcterms:modified>
</cp:coreProperties>
</file>